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5806C" w14:textId="4F554E31" w:rsidR="00D600F3" w:rsidRPr="006C0203" w:rsidRDefault="009775C4" w:rsidP="0027080C">
      <w:pPr>
        <w:rPr>
          <w:rFonts w:ascii="Bookman Old Style" w:hAnsi="Bookman Old Style" w:cs="Tahoma"/>
          <w:b/>
          <w:sz w:val="28"/>
          <w:szCs w:val="24"/>
        </w:rPr>
      </w:pPr>
      <w:r w:rsidRPr="006C0203">
        <w:rPr>
          <w:rFonts w:ascii="Bookman Old Style" w:hAnsi="Bookman Old Style" w:cs="Tahoma"/>
          <w:b/>
          <w:sz w:val="28"/>
          <w:szCs w:val="24"/>
        </w:rPr>
        <w:t>A FIVE-STEP GUIDE TO LAUNCHING A MENTORING PROGRAM</w:t>
      </w:r>
    </w:p>
    <w:p w14:paraId="001C7D3D" w14:textId="77777777" w:rsidR="00D600F3" w:rsidRPr="006C0203" w:rsidRDefault="00D600F3" w:rsidP="00D600F3">
      <w:pPr>
        <w:rPr>
          <w:rFonts w:ascii="Bookman Old Style" w:hAnsi="Bookman Old Style" w:cs="Tahoma"/>
          <w:sz w:val="24"/>
          <w:szCs w:val="24"/>
        </w:rPr>
      </w:pPr>
    </w:p>
    <w:p w14:paraId="5FFD4402" w14:textId="77777777" w:rsidR="00D600F3" w:rsidRPr="006C0203" w:rsidRDefault="00D600F3" w:rsidP="00D600F3">
      <w:pPr>
        <w:rPr>
          <w:rFonts w:ascii="Bookman Old Style" w:hAnsi="Bookman Old Style" w:cs="Tahoma"/>
          <w:b/>
          <w:sz w:val="24"/>
          <w:szCs w:val="24"/>
        </w:rPr>
      </w:pPr>
      <w:r w:rsidRPr="006C0203">
        <w:rPr>
          <w:rFonts w:ascii="Bookman Old Style" w:hAnsi="Bookman Old Style" w:cs="Tahoma"/>
          <w:b/>
          <w:sz w:val="24"/>
          <w:szCs w:val="24"/>
        </w:rPr>
        <w:t>STEP 1</w:t>
      </w:r>
    </w:p>
    <w:p w14:paraId="1226D912"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Design Your Mentoring Program</w:t>
      </w:r>
      <w:bookmarkStart w:id="0" w:name="_GoBack"/>
      <w:bookmarkEnd w:id="0"/>
    </w:p>
    <w:p w14:paraId="77624F51"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The starting point for any mentoring program begins with two important questions:</w:t>
      </w:r>
    </w:p>
    <w:p w14:paraId="1189D715"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Why are you starting this program?</w:t>
      </w:r>
    </w:p>
    <w:p w14:paraId="700CEF75"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What does success look like for participants and the organization?</w:t>
      </w:r>
    </w:p>
    <w:p w14:paraId="3B4B4980" w14:textId="24DDB30B"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To answer these questions</w:t>
      </w:r>
      <w:r w:rsidR="00102C16" w:rsidRPr="006C0203">
        <w:rPr>
          <w:rFonts w:ascii="Bookman Old Style" w:hAnsi="Bookman Old Style" w:cs="Tahoma"/>
          <w:sz w:val="24"/>
          <w:szCs w:val="24"/>
        </w:rPr>
        <w:t>,</w:t>
      </w:r>
      <w:r w:rsidRPr="006C0203">
        <w:rPr>
          <w:rFonts w:ascii="Bookman Old Style" w:hAnsi="Bookman Old Style" w:cs="Tahoma"/>
          <w:sz w:val="24"/>
          <w:szCs w:val="24"/>
        </w:rPr>
        <w:t xml:space="preserve"> you will need to dive deep to understand your target audience. Make sure you understand who they are, where they are, their development needs, and their key motivations to participate. Translate your vision into SMART objectives: specific, measurable, attainable, relevant and time-bound. Objectives provide direction to program participants, establish program key performance indicators (KPIs), and help organizational leaders understand why they should offer their support.</w:t>
      </w:r>
    </w:p>
    <w:p w14:paraId="524F7FDA" w14:textId="4B8F3373"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 xml:space="preserve">Successful mentoring programs offer both structure and flexibility. </w:t>
      </w:r>
      <w:r w:rsidR="00102C16" w:rsidRPr="006C0203">
        <w:rPr>
          <w:rFonts w:ascii="Bookman Old Style" w:hAnsi="Bookman Old Style" w:cs="Tahoma"/>
          <w:sz w:val="24"/>
          <w:szCs w:val="24"/>
        </w:rPr>
        <w:t>The s</w:t>
      </w:r>
      <w:r w:rsidRPr="006C0203">
        <w:rPr>
          <w:rFonts w:ascii="Bookman Old Style" w:hAnsi="Bookman Old Style" w:cs="Tahoma"/>
          <w:sz w:val="24"/>
          <w:szCs w:val="24"/>
        </w:rPr>
        <w:t>tructure provides participants a mentoring workflow to follow and is critical to help participants achieve productive learning that reaches defined goals. Similarly, flexibility is essential to support varying individual mentoring needs across specific learning goals, preferences, and learning style.</w:t>
      </w:r>
    </w:p>
    <w:p w14:paraId="4EE8AB8E"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Key design decisions include:</w:t>
      </w:r>
    </w:p>
    <w:p w14:paraId="4F0A4CDD" w14:textId="06B33AA6"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Enrollment – is it open, application, or invite</w:t>
      </w:r>
      <w:r w:rsidR="00102C16" w:rsidRPr="006C0203">
        <w:rPr>
          <w:rFonts w:ascii="Bookman Old Style" w:hAnsi="Bookman Old Style" w:cs="Tahoma"/>
          <w:sz w:val="24"/>
          <w:szCs w:val="24"/>
        </w:rPr>
        <w:t>-</w:t>
      </w:r>
      <w:r w:rsidRPr="006C0203">
        <w:rPr>
          <w:rFonts w:ascii="Bookman Old Style" w:hAnsi="Bookman Old Style" w:cs="Tahoma"/>
          <w:sz w:val="24"/>
          <w:szCs w:val="24"/>
        </w:rPr>
        <w:t>only?</w:t>
      </w:r>
    </w:p>
    <w:p w14:paraId="593391CD"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Mentoring style – can be traditional, flash, reverse</w:t>
      </w:r>
    </w:p>
    <w:p w14:paraId="2A6D454F"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Connection type – possibly 1:1, group, or project</w:t>
      </w:r>
    </w:p>
    <w:p w14:paraId="3D08A764"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Connection duration – typically weeks or months, or perhaps even just a single session</w:t>
      </w:r>
    </w:p>
    <w:p w14:paraId="100A69F1" w14:textId="48F1919A"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Community/social aspects beyond formal mentoring, tracking</w:t>
      </w:r>
      <w:r w:rsidR="00102C16" w:rsidRPr="006C0203">
        <w:rPr>
          <w:rFonts w:ascii="Bookman Old Style" w:hAnsi="Bookman Old Style" w:cs="Tahoma"/>
          <w:sz w:val="24"/>
          <w:szCs w:val="24"/>
        </w:rPr>
        <w:t>,</w:t>
      </w:r>
      <w:r w:rsidRPr="006C0203">
        <w:rPr>
          <w:rFonts w:ascii="Bookman Old Style" w:hAnsi="Bookman Old Style" w:cs="Tahoma"/>
          <w:sz w:val="24"/>
          <w:szCs w:val="24"/>
        </w:rPr>
        <w:t xml:space="preserve"> and reporting needs.</w:t>
      </w:r>
    </w:p>
    <w:p w14:paraId="7A8F0861" w14:textId="5931074A" w:rsidR="00D600F3" w:rsidRPr="006C0203" w:rsidRDefault="00102C16" w:rsidP="00D600F3">
      <w:pPr>
        <w:rPr>
          <w:rFonts w:ascii="Bookman Old Style" w:hAnsi="Bookman Old Style" w:cs="Tahoma"/>
          <w:sz w:val="24"/>
          <w:szCs w:val="24"/>
        </w:rPr>
      </w:pPr>
      <w:r w:rsidRPr="006C0203">
        <w:rPr>
          <w:rFonts w:ascii="Bookman Old Style" w:hAnsi="Bookman Old Style" w:cs="Tahoma"/>
          <w:sz w:val="24"/>
          <w:szCs w:val="24"/>
        </w:rPr>
        <w:t>The</w:t>
      </w:r>
      <w:r w:rsidR="00D600F3" w:rsidRPr="006C0203">
        <w:rPr>
          <w:rFonts w:ascii="Bookman Old Style" w:hAnsi="Bookman Old Style" w:cs="Tahoma"/>
          <w:sz w:val="24"/>
          <w:szCs w:val="24"/>
        </w:rPr>
        <w:t xml:space="preserve"> good idea is to create a program workflow diagram to explain each step of your program. You can provide details such as key actions, timeframes, support resources, and criteria for moving to the next phase. Mark areas that will require some flexibility to support user needs.</w:t>
      </w:r>
    </w:p>
    <w:p w14:paraId="0824DE78" w14:textId="4227958D" w:rsidR="009775C4"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Mentoring software allows you to deliver a wide</w:t>
      </w:r>
      <w:r w:rsidR="00102C16" w:rsidRPr="006C0203">
        <w:rPr>
          <w:rFonts w:ascii="Bookman Old Style" w:hAnsi="Bookman Old Style" w:cs="Tahoma"/>
          <w:sz w:val="24"/>
          <w:szCs w:val="24"/>
        </w:rPr>
        <w:t xml:space="preserve"> </w:t>
      </w:r>
      <w:r w:rsidRPr="006C0203">
        <w:rPr>
          <w:rFonts w:ascii="Bookman Old Style" w:hAnsi="Bookman Old Style" w:cs="Tahoma"/>
          <w:sz w:val="24"/>
          <w:szCs w:val="24"/>
        </w:rPr>
        <w:t>variety of mentoring programs. Regardless if a small or large program, mentoring software is easy to configure and will save you time and cost in getting your program started and running smoothly.</w:t>
      </w:r>
    </w:p>
    <w:p w14:paraId="37A6CAE8" w14:textId="77777777" w:rsidR="002C54D3" w:rsidRPr="006C0203" w:rsidRDefault="002C54D3" w:rsidP="00D600F3">
      <w:pPr>
        <w:rPr>
          <w:rFonts w:ascii="Bookman Old Style" w:hAnsi="Bookman Old Style" w:cs="Tahoma"/>
          <w:sz w:val="24"/>
          <w:szCs w:val="24"/>
        </w:rPr>
      </w:pPr>
    </w:p>
    <w:p w14:paraId="467D460C" w14:textId="29644E84" w:rsidR="00D600F3" w:rsidRPr="006C0203" w:rsidRDefault="00D600F3" w:rsidP="00D600F3">
      <w:pPr>
        <w:rPr>
          <w:rFonts w:ascii="Bookman Old Style" w:hAnsi="Bookman Old Style" w:cs="Tahoma"/>
          <w:b/>
          <w:sz w:val="24"/>
          <w:szCs w:val="24"/>
        </w:rPr>
      </w:pPr>
      <w:r w:rsidRPr="006C0203">
        <w:rPr>
          <w:rFonts w:ascii="Bookman Old Style" w:hAnsi="Bookman Old Style" w:cs="Tahoma"/>
          <w:b/>
          <w:sz w:val="24"/>
          <w:szCs w:val="24"/>
        </w:rPr>
        <w:t>STEP 2</w:t>
      </w:r>
    </w:p>
    <w:p w14:paraId="4EF51373"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lastRenderedPageBreak/>
        <w:t>Attract Participants for Your Mentoring Program</w:t>
      </w:r>
    </w:p>
    <w:p w14:paraId="2AF8127F"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The best designed mentoring programs won’t get far without effective program promotion, mentor recruitment, and training.</w:t>
      </w:r>
    </w:p>
    <w:p w14:paraId="09EA6550" w14:textId="766B941D"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 xml:space="preserve">When new mentoring programs are introduced in organizations, there is generally natural enthusiasm. Yet this enthusiasm doesn’t always translate into high participation rates. A common reason is the absence of effective promotion. Don’t assume potential mentors and mentees understand the benefits. For many, this will be their first opportunity to participate in mentoring. You will need to convince them that participating is worth their time and effort. Beyond participants, key leaders and stakeholders will need to be educated on the benefits of the program and </w:t>
      </w:r>
      <w:r w:rsidR="00102C16" w:rsidRPr="006C0203">
        <w:rPr>
          <w:rFonts w:ascii="Bookman Old Style" w:hAnsi="Bookman Old Style" w:cs="Tahoma"/>
          <w:sz w:val="24"/>
          <w:szCs w:val="24"/>
        </w:rPr>
        <w:t xml:space="preserve">its </w:t>
      </w:r>
      <w:r w:rsidRPr="006C0203">
        <w:rPr>
          <w:rFonts w:ascii="Bookman Old Style" w:hAnsi="Bookman Old Style" w:cs="Tahoma"/>
          <w:sz w:val="24"/>
          <w:szCs w:val="24"/>
        </w:rPr>
        <w:t>strategic value to the organization.</w:t>
      </w:r>
    </w:p>
    <w:p w14:paraId="003D5302" w14:textId="181E0E34"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Consider the needs of mentors. Building a solid base of mentors can be a challenge. It is important to understand the positive and negative factors that impact mentor participation. Once you have identified them, look for creative ways to reinforce positive drivers and lower the hurdles of negative ones throughout the mentoring process. For example, mentors are often busy people with limited time to spend. How can you help mentors be more efficient with the time they have to dedicate to mentoring? Also</w:t>
      </w:r>
      <w:r w:rsidR="00102C16" w:rsidRPr="006C0203">
        <w:rPr>
          <w:rFonts w:ascii="Bookman Old Style" w:hAnsi="Bookman Old Style" w:cs="Tahoma"/>
          <w:sz w:val="24"/>
          <w:szCs w:val="24"/>
        </w:rPr>
        <w:t>,</w:t>
      </w:r>
      <w:r w:rsidRPr="006C0203">
        <w:rPr>
          <w:rFonts w:ascii="Bookman Old Style" w:hAnsi="Bookman Old Style" w:cs="Tahoma"/>
          <w:sz w:val="24"/>
          <w:szCs w:val="24"/>
        </w:rPr>
        <w:t xml:space="preserve"> consider recognition and reward strategies. Formally recognizing mentor involvement can be very motivating and help attract additional mentors to the program.</w:t>
      </w:r>
    </w:p>
    <w:p w14:paraId="4BA615E5"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Lastly, productive mentoring doesn’t just happen. Provide training to mentors and mentees regarding the program’s goals, participant roles, mentoring best practices, and your mentoring process. Help mentors and mentees clarify their own objectives. The need for training and guidance doesn’t end after the initial orientation. Provide tips and best practices throughout the mentoring program to help participants stay on track and get the most out of the program.</w:t>
      </w:r>
    </w:p>
    <w:p w14:paraId="3DA2C570" w14:textId="77777777" w:rsidR="00D600F3" w:rsidRPr="006C0203" w:rsidRDefault="00D600F3" w:rsidP="00D600F3">
      <w:pPr>
        <w:rPr>
          <w:rFonts w:ascii="Bookman Old Style" w:hAnsi="Bookman Old Style" w:cs="Tahoma"/>
          <w:sz w:val="24"/>
          <w:szCs w:val="24"/>
        </w:rPr>
      </w:pPr>
    </w:p>
    <w:p w14:paraId="287D3A59" w14:textId="5413A97F" w:rsidR="00D600F3" w:rsidRPr="006C0203" w:rsidRDefault="00D600F3" w:rsidP="00D600F3">
      <w:pPr>
        <w:rPr>
          <w:rFonts w:ascii="Bookman Old Style" w:hAnsi="Bookman Old Style" w:cs="Tahoma"/>
          <w:sz w:val="24"/>
          <w:szCs w:val="24"/>
        </w:rPr>
      </w:pPr>
      <w:proofErr w:type="spellStart"/>
      <w:r w:rsidRPr="006C0203">
        <w:rPr>
          <w:rFonts w:ascii="Bookman Old Style" w:hAnsi="Bookman Old Style" w:cs="Tahoma"/>
          <w:sz w:val="24"/>
          <w:szCs w:val="24"/>
        </w:rPr>
        <w:t>Chronus</w:t>
      </w:r>
      <w:proofErr w:type="spellEnd"/>
      <w:r w:rsidRPr="006C0203">
        <w:rPr>
          <w:rFonts w:ascii="Bookman Old Style" w:hAnsi="Bookman Old Style" w:cs="Tahoma"/>
          <w:sz w:val="24"/>
          <w:szCs w:val="24"/>
        </w:rPr>
        <w:t xml:space="preserve"> mentoring software provides the best practices, content</w:t>
      </w:r>
      <w:r w:rsidR="00102C16" w:rsidRPr="006C0203">
        <w:rPr>
          <w:rFonts w:ascii="Bookman Old Style" w:hAnsi="Bookman Old Style" w:cs="Tahoma"/>
          <w:sz w:val="24"/>
          <w:szCs w:val="24"/>
        </w:rPr>
        <w:t>,</w:t>
      </w:r>
      <w:r w:rsidRPr="006C0203">
        <w:rPr>
          <w:rFonts w:ascii="Bookman Old Style" w:hAnsi="Bookman Old Style" w:cs="Tahoma"/>
          <w:sz w:val="24"/>
          <w:szCs w:val="24"/>
        </w:rPr>
        <w:t xml:space="preserve"> and infrastructure to recruit, enroll and train program participants.</w:t>
      </w:r>
    </w:p>
    <w:p w14:paraId="673427F2" w14:textId="77777777" w:rsidR="00D600F3" w:rsidRPr="006C0203" w:rsidRDefault="00D600F3" w:rsidP="00D600F3">
      <w:pPr>
        <w:rPr>
          <w:rFonts w:ascii="Bookman Old Style" w:hAnsi="Bookman Old Style" w:cs="Tahoma"/>
          <w:sz w:val="24"/>
          <w:szCs w:val="24"/>
        </w:rPr>
      </w:pPr>
    </w:p>
    <w:p w14:paraId="752092C0" w14:textId="77777777" w:rsidR="00D600F3" w:rsidRPr="006C0203" w:rsidRDefault="00D600F3" w:rsidP="00D600F3">
      <w:pPr>
        <w:rPr>
          <w:rFonts w:ascii="Bookman Old Style" w:hAnsi="Bookman Old Style" w:cs="Tahoma"/>
          <w:b/>
          <w:sz w:val="24"/>
          <w:szCs w:val="24"/>
        </w:rPr>
      </w:pPr>
      <w:r w:rsidRPr="006C0203">
        <w:rPr>
          <w:rFonts w:ascii="Bookman Old Style" w:hAnsi="Bookman Old Style" w:cs="Tahoma"/>
          <w:b/>
          <w:sz w:val="24"/>
          <w:szCs w:val="24"/>
        </w:rPr>
        <w:t>STEP 3</w:t>
      </w:r>
    </w:p>
    <w:p w14:paraId="7DAAC5AF"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Connect Mentors and Mentees</w:t>
      </w:r>
    </w:p>
    <w:p w14:paraId="1B6EC72F"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A productive mentoring relationship depends on a good match.</w:t>
      </w:r>
    </w:p>
    <w:p w14:paraId="03DC0C40" w14:textId="1A02EA9E"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Matching is often one of the most challenging aspects of a program. Participants will bring various competencies, backgrounds, learning styles</w:t>
      </w:r>
      <w:r w:rsidR="00102C16" w:rsidRPr="006C0203">
        <w:rPr>
          <w:rFonts w:ascii="Bookman Old Style" w:hAnsi="Bookman Old Style" w:cs="Tahoma"/>
          <w:sz w:val="24"/>
          <w:szCs w:val="24"/>
        </w:rPr>
        <w:t>,</w:t>
      </w:r>
      <w:r w:rsidRPr="006C0203">
        <w:rPr>
          <w:rFonts w:ascii="Bookman Old Style" w:hAnsi="Bookman Old Style" w:cs="Tahoma"/>
          <w:sz w:val="24"/>
          <w:szCs w:val="24"/>
        </w:rPr>
        <w:t xml:space="preserve"> and needs. A great match for one person may be a bad match for another.</w:t>
      </w:r>
    </w:p>
    <w:p w14:paraId="2BCEB33E"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 xml:space="preserve">Matching starts by deciding which type of matching you’ll offer in your program: self-matching or admin-matching. Consider giving mentees a say in the matching process by allowing them to select a particular mentor or submit </w:t>
      </w:r>
      <w:r w:rsidRPr="006C0203">
        <w:rPr>
          <w:rFonts w:ascii="Bookman Old Style" w:hAnsi="Bookman Old Style" w:cs="Tahoma"/>
          <w:sz w:val="24"/>
          <w:szCs w:val="24"/>
        </w:rPr>
        <w:lastRenderedPageBreak/>
        <w:t>their top three choices. Self-matching is administrative light, which in larger programs can be a huge plus.</w:t>
      </w:r>
    </w:p>
    <w:p w14:paraId="33BF09A5"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For more structured programs, such as large groups of new students at universities, or groups of new corporate employees, you may want to get the program started by bulk, or admin-matching. Evaluate various match combinations before finalizing as ensuring quality mentors for hard-to-match mentees can be challenging.</w:t>
      </w:r>
    </w:p>
    <w:p w14:paraId="42E1DAA7" w14:textId="4F7015D8"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Matching best practices start with a solid profile for all participants (mentors and mentees). Critical profile elements include development goals, specific topical interests, location, experiences, and matching preferences. Think about how you’ll want to match people, or if you’ll want them to save time by having them match themselves. For example, you may want to match female leaders with younger female employees or experienced sales personnel with new recruits. For self-matching, perhaps participants might like to connect with someone from the same previous employer or the same college. The more you know about your participants, the better chance your participants will have for a great fit and a happy, productive mentoring outcome.</w:t>
      </w:r>
    </w:p>
    <w:p w14:paraId="18411D6D" w14:textId="093AB42E"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 xml:space="preserve">Regardless if self- or admin-matching, see how </w:t>
      </w:r>
      <w:proofErr w:type="spellStart"/>
      <w:r w:rsidRPr="006C0203">
        <w:rPr>
          <w:rFonts w:ascii="Bookman Old Style" w:hAnsi="Bookman Old Style" w:cs="Tahoma"/>
          <w:sz w:val="24"/>
          <w:szCs w:val="24"/>
        </w:rPr>
        <w:t>Chronus</w:t>
      </w:r>
      <w:proofErr w:type="spellEnd"/>
      <w:r w:rsidRPr="006C0203">
        <w:rPr>
          <w:rFonts w:ascii="Bookman Old Style" w:hAnsi="Bookman Old Style" w:cs="Tahoma"/>
          <w:sz w:val="24"/>
          <w:szCs w:val="24"/>
        </w:rPr>
        <w:t xml:space="preserve"> software makes matching faster and easier with strong, intelligent matching capabilities.</w:t>
      </w:r>
    </w:p>
    <w:p w14:paraId="15129D17" w14:textId="77777777" w:rsidR="00D600F3" w:rsidRPr="006C0203" w:rsidRDefault="00D600F3" w:rsidP="00D600F3">
      <w:pPr>
        <w:rPr>
          <w:rFonts w:ascii="Bookman Old Style" w:hAnsi="Bookman Old Style" w:cs="Tahoma"/>
          <w:sz w:val="24"/>
          <w:szCs w:val="24"/>
        </w:rPr>
      </w:pPr>
    </w:p>
    <w:p w14:paraId="195B4641" w14:textId="77777777" w:rsidR="002C54D3" w:rsidRPr="006C0203" w:rsidRDefault="002C54D3" w:rsidP="00D600F3">
      <w:pPr>
        <w:rPr>
          <w:rFonts w:ascii="Bookman Old Style" w:hAnsi="Bookman Old Style" w:cs="Tahoma"/>
          <w:b/>
          <w:sz w:val="24"/>
          <w:szCs w:val="24"/>
        </w:rPr>
      </w:pPr>
    </w:p>
    <w:p w14:paraId="4D15DE5D" w14:textId="77777777" w:rsidR="002C54D3" w:rsidRPr="006C0203" w:rsidRDefault="002C54D3" w:rsidP="00D600F3">
      <w:pPr>
        <w:rPr>
          <w:rFonts w:ascii="Bookman Old Style" w:hAnsi="Bookman Old Style" w:cs="Tahoma"/>
          <w:b/>
          <w:sz w:val="24"/>
          <w:szCs w:val="24"/>
        </w:rPr>
      </w:pPr>
    </w:p>
    <w:p w14:paraId="39938CA3" w14:textId="77777777" w:rsidR="002C54D3" w:rsidRPr="006C0203" w:rsidRDefault="002C54D3" w:rsidP="00D600F3">
      <w:pPr>
        <w:rPr>
          <w:rFonts w:ascii="Bookman Old Style" w:hAnsi="Bookman Old Style" w:cs="Tahoma"/>
          <w:b/>
          <w:sz w:val="24"/>
          <w:szCs w:val="24"/>
        </w:rPr>
      </w:pPr>
    </w:p>
    <w:p w14:paraId="06214191" w14:textId="5B00679B" w:rsidR="00D600F3" w:rsidRPr="006C0203" w:rsidRDefault="00D600F3" w:rsidP="00D600F3">
      <w:pPr>
        <w:rPr>
          <w:rFonts w:ascii="Bookman Old Style" w:hAnsi="Bookman Old Style" w:cs="Tahoma"/>
          <w:b/>
          <w:sz w:val="24"/>
          <w:szCs w:val="24"/>
        </w:rPr>
      </w:pPr>
      <w:r w:rsidRPr="006C0203">
        <w:rPr>
          <w:rFonts w:ascii="Bookman Old Style" w:hAnsi="Bookman Old Style" w:cs="Tahoma"/>
          <w:b/>
          <w:sz w:val="24"/>
          <w:szCs w:val="24"/>
        </w:rPr>
        <w:t>STEP 4</w:t>
      </w:r>
    </w:p>
    <w:p w14:paraId="44DD12B8"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Guide Mentoring Relationships</w:t>
      </w:r>
    </w:p>
    <w:p w14:paraId="7023FBC6"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Now that your participants are enrolled, trained, and matched, the real action begins.</w:t>
      </w:r>
    </w:p>
    <w:p w14:paraId="2F7EE074"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It is also where mentoring can get stuck. Left to themselves, many mentorships will take off and thrive. But some may not. Why? Because mentoring is not typically part of one’s daily routine. Without direction and a plan, the mentoring relationship is vulnerable to losing focus and momentum. That is why providing some structure and guidance throughout the mentorship is vital to a successful mentoring program.</w:t>
      </w:r>
    </w:p>
    <w:p w14:paraId="31758FFE" w14:textId="0AFB0BA6"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 xml:space="preserve">One best practice is to ensure all mentorships have goals and action plans. This serves two purposes. First, it brings focus </w:t>
      </w:r>
      <w:r w:rsidR="00102C16" w:rsidRPr="006C0203">
        <w:rPr>
          <w:rFonts w:ascii="Bookman Old Style" w:hAnsi="Bookman Old Style" w:cs="Tahoma"/>
          <w:sz w:val="24"/>
          <w:szCs w:val="24"/>
        </w:rPr>
        <w:t>to</w:t>
      </w:r>
      <w:r w:rsidRPr="006C0203">
        <w:rPr>
          <w:rFonts w:ascii="Bookman Old Style" w:hAnsi="Bookman Old Style" w:cs="Tahoma"/>
          <w:sz w:val="24"/>
          <w:szCs w:val="24"/>
        </w:rPr>
        <w:t xml:space="preserve"> the onset, which helps a mentorship get off to a good start. Second, it adds accountability to accomplish something.</w:t>
      </w:r>
    </w:p>
    <w:p w14:paraId="0621D28D"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Provide all mentoring relationships with timely and relevant “help resources” (topical content, mentoring best practices, etc.) throughout the mentorship. Chunk-sized content delivered at key points is ideal.</w:t>
      </w:r>
    </w:p>
    <w:p w14:paraId="5A972571"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lastRenderedPageBreak/>
        <w:t>As a mentoring connection progresses, establish checkpoints where mentorships report on their progress. Even if your organization doesn’t choose to formally track the details, just the act of reporting progress helps mentors and mentees stay productive.</w:t>
      </w:r>
    </w:p>
    <w:p w14:paraId="73843F0F"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Lastly, have a formal process that brings closure to the mentoring experience. Within this process, provide an opportunity for both the mentor and mentee to reflect upon what was learned, discuss next steps for the mentee, and provide feedback on the benefits of the program and process.</w:t>
      </w:r>
    </w:p>
    <w:p w14:paraId="33740894" w14:textId="77777777" w:rsidR="00D600F3" w:rsidRPr="006C0203" w:rsidRDefault="00D600F3" w:rsidP="00D600F3">
      <w:pPr>
        <w:rPr>
          <w:rFonts w:ascii="Bookman Old Style" w:hAnsi="Bookman Old Style" w:cs="Tahoma"/>
          <w:sz w:val="24"/>
          <w:szCs w:val="24"/>
        </w:rPr>
      </w:pPr>
      <w:proofErr w:type="spellStart"/>
      <w:r w:rsidRPr="006C0203">
        <w:rPr>
          <w:rFonts w:ascii="Bookman Old Style" w:hAnsi="Bookman Old Style" w:cs="Tahoma"/>
          <w:sz w:val="24"/>
          <w:szCs w:val="24"/>
        </w:rPr>
        <w:t>Chronus</w:t>
      </w:r>
      <w:proofErr w:type="spellEnd"/>
      <w:r w:rsidRPr="006C0203">
        <w:rPr>
          <w:rFonts w:ascii="Bookman Old Style" w:hAnsi="Bookman Old Style" w:cs="Tahoma"/>
          <w:sz w:val="24"/>
          <w:szCs w:val="24"/>
        </w:rPr>
        <w:t xml:space="preserve"> software makes guiding, or “facilitating,” your program’s mentoring connections very easy and enables your participants to be highly productive.</w:t>
      </w:r>
    </w:p>
    <w:p w14:paraId="0579DF6D" w14:textId="77777777" w:rsidR="00D600F3" w:rsidRPr="006C0203" w:rsidRDefault="00D600F3" w:rsidP="00D600F3">
      <w:pPr>
        <w:rPr>
          <w:rFonts w:ascii="Bookman Old Style" w:hAnsi="Bookman Old Style" w:cs="Tahoma"/>
          <w:sz w:val="24"/>
          <w:szCs w:val="24"/>
        </w:rPr>
      </w:pPr>
    </w:p>
    <w:p w14:paraId="38BCA93A" w14:textId="77777777" w:rsidR="00D600F3" w:rsidRPr="006C0203" w:rsidRDefault="00D600F3" w:rsidP="00D600F3">
      <w:pPr>
        <w:rPr>
          <w:rFonts w:ascii="Bookman Old Style" w:hAnsi="Bookman Old Style" w:cs="Tahoma"/>
          <w:b/>
          <w:sz w:val="24"/>
          <w:szCs w:val="24"/>
        </w:rPr>
      </w:pPr>
      <w:r w:rsidRPr="006C0203">
        <w:rPr>
          <w:rFonts w:ascii="Bookman Old Style" w:hAnsi="Bookman Old Style" w:cs="Tahoma"/>
          <w:b/>
          <w:sz w:val="24"/>
          <w:szCs w:val="24"/>
        </w:rPr>
        <w:t>STEP 5</w:t>
      </w:r>
    </w:p>
    <w:p w14:paraId="38B4E472"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Measure Your Mentoring Program</w:t>
      </w:r>
    </w:p>
    <w:p w14:paraId="0EACC31B"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Understanding how your program measures up to expectations may well be the most important phase of all.</w:t>
      </w:r>
    </w:p>
    <w:p w14:paraId="14C5A68C" w14:textId="3698D76F"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 xml:space="preserve">Mentoring is a significant investment when you consider program management, infrastructure, and the valuable time of participants. Articulating the impact is essential to secure ongoing funding and support. </w:t>
      </w:r>
      <w:r w:rsidR="00102C16" w:rsidRPr="006C0203">
        <w:rPr>
          <w:rFonts w:ascii="Bookman Old Style" w:hAnsi="Bookman Old Style" w:cs="Tahoma"/>
          <w:sz w:val="24"/>
          <w:szCs w:val="24"/>
        </w:rPr>
        <w:t>Also</w:t>
      </w:r>
      <w:r w:rsidRPr="006C0203">
        <w:rPr>
          <w:rFonts w:ascii="Bookman Old Style" w:hAnsi="Bookman Old Style" w:cs="Tahoma"/>
          <w:sz w:val="24"/>
          <w:szCs w:val="24"/>
        </w:rPr>
        <w:t>, the measure phase is also focused on assessing program health to identify trouble spots and opportunities.</w:t>
      </w:r>
    </w:p>
    <w:p w14:paraId="7D930420"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Mentoring programs should be tracked, measured, and assessed at three altitudes: the program, the mentoring connection, and the individual. To be effective you need the ability to capture metrics and feedback throughout the program lifecycle.</w:t>
      </w:r>
    </w:p>
    <w:p w14:paraId="0C123378" w14:textId="706ED4A3"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At the program level, build metrics around defined business objectives. For example, in a diversity mentoring program</w:t>
      </w:r>
      <w:r w:rsidR="00102C16" w:rsidRPr="006C0203">
        <w:rPr>
          <w:rFonts w:ascii="Bookman Old Style" w:hAnsi="Bookman Old Style" w:cs="Tahoma"/>
          <w:sz w:val="24"/>
          <w:szCs w:val="24"/>
        </w:rPr>
        <w:t>,</w:t>
      </w:r>
      <w:r w:rsidRPr="006C0203">
        <w:rPr>
          <w:rFonts w:ascii="Bookman Old Style" w:hAnsi="Bookman Old Style" w:cs="Tahoma"/>
          <w:sz w:val="24"/>
          <w:szCs w:val="24"/>
        </w:rPr>
        <w:t xml:space="preserve"> you may want to compare </w:t>
      </w:r>
      <w:r w:rsidR="00102C16" w:rsidRPr="006C0203">
        <w:rPr>
          <w:rFonts w:ascii="Bookman Old Style" w:hAnsi="Bookman Old Style" w:cs="Tahoma"/>
          <w:sz w:val="24"/>
          <w:szCs w:val="24"/>
        </w:rPr>
        <w:t xml:space="preserve">the </w:t>
      </w:r>
      <w:r w:rsidRPr="006C0203">
        <w:rPr>
          <w:rFonts w:ascii="Bookman Old Style" w:hAnsi="Bookman Old Style" w:cs="Tahoma"/>
          <w:sz w:val="24"/>
          <w:szCs w:val="24"/>
        </w:rPr>
        <w:t>promotion rates of program participants to non-participants. Also track “funnel” conversion metrics, which show the progress participants make at each step of the mentoring program starting at enrollment. Conversion metrics provide essential insight into program health.</w:t>
      </w:r>
    </w:p>
    <w:p w14:paraId="314D2F2D"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For mentoring connections, you want to understand mentorship behavior to identify roadblocks and opportunities. Common questions you will want to ask are: Is the mentoring timeframe too long, too short, or just right? Are mentorships getting off to fast starts or lagging? Are participants leveraging content resources you have provided?</w:t>
      </w:r>
    </w:p>
    <w:p w14:paraId="7917AE1B" w14:textId="77777777" w:rsidR="00D600F3" w:rsidRPr="006C0203" w:rsidRDefault="00D600F3" w:rsidP="00D600F3">
      <w:pPr>
        <w:rPr>
          <w:rFonts w:ascii="Bookman Old Style" w:hAnsi="Bookman Old Style" w:cs="Tahoma"/>
          <w:sz w:val="24"/>
          <w:szCs w:val="24"/>
        </w:rPr>
      </w:pPr>
      <w:r w:rsidRPr="006C0203">
        <w:rPr>
          <w:rFonts w:ascii="Bookman Old Style" w:hAnsi="Bookman Old Style" w:cs="Tahoma"/>
          <w:sz w:val="24"/>
          <w:szCs w:val="24"/>
        </w:rPr>
        <w:t>For participants, you want to understand the impact of mentoring in terms of outcomes while acquiring program feedback. One of the easiest ways to capture outcome and feedback is through surveys. Ask participants and stakeholders how well the mentoring program met their goals and the goals of the organization. Also ask them for their ideas for improving the program.</w:t>
      </w:r>
    </w:p>
    <w:p w14:paraId="1C7F3D11" w14:textId="77777777" w:rsidR="00D600F3" w:rsidRPr="006C0203" w:rsidRDefault="00D600F3" w:rsidP="00D600F3">
      <w:pPr>
        <w:rPr>
          <w:rFonts w:ascii="Bookman Old Style" w:hAnsi="Bookman Old Style" w:cs="Tahoma"/>
          <w:sz w:val="24"/>
          <w:szCs w:val="24"/>
        </w:rPr>
      </w:pPr>
    </w:p>
    <w:sectPr w:rsidR="00D600F3" w:rsidRPr="006C0203" w:rsidSect="009775C4">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B22FB"/>
    <w:multiLevelType w:val="multilevel"/>
    <w:tmpl w:val="72B6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E540F3"/>
    <w:multiLevelType w:val="multilevel"/>
    <w:tmpl w:val="C4D8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S2MDU3sDQ3MzCyMDRQ0lEKTi0uzszPAykwrAUAXvww/SwAAAA="/>
  </w:docVars>
  <w:rsids>
    <w:rsidRoot w:val="0020530B"/>
    <w:rsid w:val="00102C16"/>
    <w:rsid w:val="0020530B"/>
    <w:rsid w:val="00266D66"/>
    <w:rsid w:val="0027080C"/>
    <w:rsid w:val="002C54D3"/>
    <w:rsid w:val="006C0203"/>
    <w:rsid w:val="009775C4"/>
    <w:rsid w:val="00D6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2B52"/>
  <w15:chartTrackingRefBased/>
  <w15:docId w15:val="{F2279A47-8F8F-4F15-B27E-970E9A5A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600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600F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00F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600F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600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ffset1">
    <w:name w:val="voffset1"/>
    <w:basedOn w:val="Normal"/>
    <w:rsid w:val="00D60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0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7815">
      <w:bodyDiv w:val="1"/>
      <w:marLeft w:val="0"/>
      <w:marRight w:val="0"/>
      <w:marTop w:val="0"/>
      <w:marBottom w:val="0"/>
      <w:divBdr>
        <w:top w:val="none" w:sz="0" w:space="0" w:color="auto"/>
        <w:left w:val="none" w:sz="0" w:space="0" w:color="auto"/>
        <w:bottom w:val="none" w:sz="0" w:space="0" w:color="auto"/>
        <w:right w:val="none" w:sz="0" w:space="0" w:color="auto"/>
      </w:divBdr>
    </w:div>
    <w:div w:id="260528269">
      <w:bodyDiv w:val="1"/>
      <w:marLeft w:val="0"/>
      <w:marRight w:val="0"/>
      <w:marTop w:val="0"/>
      <w:marBottom w:val="0"/>
      <w:divBdr>
        <w:top w:val="none" w:sz="0" w:space="0" w:color="auto"/>
        <w:left w:val="none" w:sz="0" w:space="0" w:color="auto"/>
        <w:bottom w:val="none" w:sz="0" w:space="0" w:color="auto"/>
        <w:right w:val="none" w:sz="0" w:space="0" w:color="auto"/>
      </w:divBdr>
    </w:div>
    <w:div w:id="445806315">
      <w:bodyDiv w:val="1"/>
      <w:marLeft w:val="0"/>
      <w:marRight w:val="0"/>
      <w:marTop w:val="0"/>
      <w:marBottom w:val="0"/>
      <w:divBdr>
        <w:top w:val="none" w:sz="0" w:space="0" w:color="auto"/>
        <w:left w:val="none" w:sz="0" w:space="0" w:color="auto"/>
        <w:bottom w:val="none" w:sz="0" w:space="0" w:color="auto"/>
        <w:right w:val="none" w:sz="0" w:space="0" w:color="auto"/>
      </w:divBdr>
    </w:div>
    <w:div w:id="487017770">
      <w:bodyDiv w:val="1"/>
      <w:marLeft w:val="0"/>
      <w:marRight w:val="0"/>
      <w:marTop w:val="0"/>
      <w:marBottom w:val="0"/>
      <w:divBdr>
        <w:top w:val="none" w:sz="0" w:space="0" w:color="auto"/>
        <w:left w:val="none" w:sz="0" w:space="0" w:color="auto"/>
        <w:bottom w:val="none" w:sz="0" w:space="0" w:color="auto"/>
        <w:right w:val="none" w:sz="0" w:space="0" w:color="auto"/>
      </w:divBdr>
    </w:div>
    <w:div w:id="595213138">
      <w:bodyDiv w:val="1"/>
      <w:marLeft w:val="0"/>
      <w:marRight w:val="0"/>
      <w:marTop w:val="0"/>
      <w:marBottom w:val="0"/>
      <w:divBdr>
        <w:top w:val="none" w:sz="0" w:space="0" w:color="auto"/>
        <w:left w:val="none" w:sz="0" w:space="0" w:color="auto"/>
        <w:bottom w:val="none" w:sz="0" w:space="0" w:color="auto"/>
        <w:right w:val="none" w:sz="0" w:space="0" w:color="auto"/>
      </w:divBdr>
    </w:div>
    <w:div w:id="610623529">
      <w:bodyDiv w:val="1"/>
      <w:marLeft w:val="0"/>
      <w:marRight w:val="0"/>
      <w:marTop w:val="0"/>
      <w:marBottom w:val="0"/>
      <w:divBdr>
        <w:top w:val="none" w:sz="0" w:space="0" w:color="auto"/>
        <w:left w:val="none" w:sz="0" w:space="0" w:color="auto"/>
        <w:bottom w:val="none" w:sz="0" w:space="0" w:color="auto"/>
        <w:right w:val="none" w:sz="0" w:space="0" w:color="auto"/>
      </w:divBdr>
    </w:div>
    <w:div w:id="1296522548">
      <w:bodyDiv w:val="1"/>
      <w:marLeft w:val="0"/>
      <w:marRight w:val="0"/>
      <w:marTop w:val="0"/>
      <w:marBottom w:val="0"/>
      <w:divBdr>
        <w:top w:val="none" w:sz="0" w:space="0" w:color="auto"/>
        <w:left w:val="none" w:sz="0" w:space="0" w:color="auto"/>
        <w:bottom w:val="none" w:sz="0" w:space="0" w:color="auto"/>
        <w:right w:val="none" w:sz="0" w:space="0" w:color="auto"/>
      </w:divBdr>
    </w:div>
    <w:div w:id="1389458375">
      <w:bodyDiv w:val="1"/>
      <w:marLeft w:val="0"/>
      <w:marRight w:val="0"/>
      <w:marTop w:val="0"/>
      <w:marBottom w:val="0"/>
      <w:divBdr>
        <w:top w:val="none" w:sz="0" w:space="0" w:color="auto"/>
        <w:left w:val="none" w:sz="0" w:space="0" w:color="auto"/>
        <w:bottom w:val="none" w:sz="0" w:space="0" w:color="auto"/>
        <w:right w:val="none" w:sz="0" w:space="0" w:color="auto"/>
      </w:divBdr>
    </w:div>
    <w:div w:id="15911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7</cp:revision>
  <dcterms:created xsi:type="dcterms:W3CDTF">2019-03-22T12:28:00Z</dcterms:created>
  <dcterms:modified xsi:type="dcterms:W3CDTF">2019-10-08T15:20:00Z</dcterms:modified>
</cp:coreProperties>
</file>